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Kramfors kommunfullmäktige</w:t>
      </w:r>
    </w:p>
    <w:p>
      <w:pPr>
        <w:pStyle w:val="Heading1"/>
      </w:pPr>
      <w:r>
        <w:t xml:space="preserve">Tryggare Kramfors – utökad kameraövervakning och ordningsvakter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Kramfors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2024 visar 68 anmälda brott per 1 000 invånare i Kramfors, högre än länsgenomsnittet. Brottsförebyggande arbete behöver stärkas i centrala Kramfors och Nyland. Moderaterna vill införa fler kameror och ordningsvakter för att öka tryggheten (källa: Brå 2024, kommunens trygghetsundersökning 2025).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Kramfors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att installera 25 nya övervakningskameror i centrala Kramfors och Nyland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anställa två ordningsvakter med utökad närvaro kvällstid.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upprätta en lokal brottsförebyggande strategi i samverkan med Polisen.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åtgärderna.</w:t>
      </w:r>
    </w:p>
    <w:p>
      <w:pPr>
        <w:spacing w:before="360"/>
      </w:pPr>
    </w:p>
    <w:p>
      <w:r>
        <w:t xml:space="preserve">Kramfors,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Kramfors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2026-06-06T01:48:25.491Z</dcterms:created>
  <dcterms:modified xsi:type="dcterms:W3CDTF">2026-06-06T01:48:25.491Z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